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47cf" w14:textId="a4247cf">
      <w:pPr>
        <w:pStyle w:val="TitleStyle"/>
        <w15:collapsed w:val="false"/>
      </w:pPr>
      <w:r>
        <w:t>Uchwała w sprawie określenia stawek podatku od nieruchomości.</w:t>
      </w:r>
    </w:p>
    <w:p>
      <w:pPr>
        <w:pStyle w:val="NormalStyle"/>
      </w:pPr>
      <w:r>
        <w:t>Zacho.2018.5577 z dnia 2018.12.03</w:t>
      </w:r>
    </w:p>
    <w:p>
      <w:pPr>
        <w:pStyle w:val="NormalStyle"/>
      </w:pPr>
      <w:r>
        <w:t>Status: Akt obowiązujący </w:t>
      </w:r>
    </w:p>
    <w:p>
      <w:pPr>
        <w:pStyle w:val="NormalStyle"/>
      </w:pPr>
      <w:r>
        <w:t>Wersja od: 3 grudnia 2018 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stycznia 2019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UCHWAŁA Nr II/18/2018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RADY MIEJSKIEJ W CHOSZCZNIE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29 listopada 2018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określenia stawek podatku od nieruchomości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18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8 marca 1990 r. o samorządzie gminnym (Dz. U. z 2018 r. poz. 994 z późn. zm.)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5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12 stycznia 1991 r. o podatkach i opłatach lokalnych (Dz. U. z 2018 r. poz. 1445 z późn. zm.) w związku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obwieszczeniem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Finansów z dnia 25 lipca 2018 r. w sprawie górnych granic stawek kwotowych podatków i opłat lokalnych w 2019 r. (M.P. poz. 745) uchwala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się następujące stawki podatku od nieruchomości obowiązujące na terenie Gminy Choszczno: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budynków lub ich części: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mieszkalnych - 0,77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prowadzeniem działalności gospodarczej oraz od budynków mieszkalnych lub ich części zajętych na prowadzenie działalności gospodarczej - 22,97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zajętych na prowadzenie działalności gospodarczej w zakresie obrotu kwalifikowanym materiałem siewnym - 10,98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udzielaniem świadczeń zdrowotnych w rozumieniu przepisów o działalności leczniczej, zajętych przez podmioty udzielające tych świadczeń - 4,78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 użytkowej,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pozostałych, w tym zajętych na prowadzenie odpłatnej statutowej działalności pożytku publicznego przez organizacje pożytku publicznego - 7,90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 użytkowej;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budowli: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prowadzeniem działalności w zakresie zaopatrzenia w wodę i odprowadzenie ścieków - 0,2% ich wartości określonej na podstawie art. 4 ust. 1 pkt 3 i ust. 3-7 ustawy o podatkach i opłatach lokalnych,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pozostałych - 2% ich wartości określonej na podstawie art. 4 ust. 1 pkt 3 i ust. 3-7 ustawy o podatkach i opłatach lokalnych;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 gruntów: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związanych z prowadzeniem działalności gospodarczej, bez względu na sposób zakwalifikowania w ewidencji gruntów i budynków - 0,93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pod wodami powierzchniowymi stojącymi lub wodami powierzchniowymi płynącymi jezior i zbiorników sztucznych - 4,71 zł od 1 ha powierzchni,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pozostałych, w tym zajętych na prowadzenie odpłatnej statutowej działalności pożytku publicznego przez organizacje pożytku publicznego - 0,49 zł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niezabudowanych objętych obszarem rewitalizacji,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9 października 2015 r. o rewitalizacji (Dz. U. z 2018 r. poz. 1398)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- 3,09 od 1 m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 xml:space="preserve">2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powierzchni.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Wykonanie uchwały powierza się Burmistrzowi Choszczna.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uchwała Nr XII/125/2011 Rady Miejskiej w Choszcznie z dnia 24 listopada 2011 r. w sprawie określenia stawek podatku od nieruchomości.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Uchwała wchodzi w życie z dniem 1 stycznia 2019 r. i podlega ogłoszeniu w Dzienniku Urzędowym Województwa Zachodniopomorskiego.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DocDefaults">
    <w:name w:val="DocDefaults"/>
    <w:pPr>
      <w:spacing w:after="200" w:line="276" w:lineRule="auto"/>
    </w:pPr>
    <w:rPr>
      <w:rFonts w:ascii="Times New Roman" w:hAnsi="Times New Roman" w:eastAsia="Times New Roman" w:cs="Times New Roman" w:asciiTheme="minorHAnsi" w:hAnsiTheme="minorHAnsi" w:eastAsiaTheme="minorHAnsi" w:cstheme="minorBidi"/>
      <w:sz w:val="24"/>
      <w:szCs w:val="22"/>
      <w:lang w:val="pl-Pl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